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ЗАКОН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jc w:val="center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Алтайского края</w:t>
      </w:r>
      <w:r>
        <w:rPr>
          <w:color w:val="000000" w:themeColor="text1"/>
          <w:sz w:val="27"/>
          <w:szCs w:val="27"/>
        </w:rPr>
      </w:r>
    </w:p>
    <w:p>
      <w:pPr>
        <w:jc w:val="center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ind w:left="709" w:right="707"/>
        <w:jc w:val="center"/>
        <w:spacing w:after="0" w:line="240" w:lineRule="auto"/>
        <w:rPr>
          <w:rFonts w:ascii="PT Astra Serif" w:hAnsi="PT Astra Serif" w:cs="PT Astra Serif"/>
          <w:b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</w:rPr>
        <w:t xml:space="preserve">О внесении изменений в закон Алтайского края </w:t>
      </w:r>
      <w:r>
        <w:rPr>
          <w:rFonts w:ascii="PT Astra Serif" w:hAnsi="PT Astra Serif" w:cs="PT Astra Serif"/>
          <w:b/>
          <w:color w:val="000000" w:themeColor="text1"/>
          <w:sz w:val="27"/>
          <w:szCs w:val="27"/>
        </w:rPr>
        <w:br/>
        <w:t xml:space="preserve">«Об автомобильных дорогах и о дорожной деятельности </w:t>
      </w:r>
      <w:r>
        <w:rPr>
          <w:rFonts w:ascii="PT Astra Serif" w:hAnsi="PT Astra Serif" w:cs="PT Astra Serif"/>
          <w:b/>
          <w:color w:val="000000" w:themeColor="text1"/>
          <w:sz w:val="27"/>
          <w:szCs w:val="27"/>
        </w:rPr>
        <w:br/>
        <w:t xml:space="preserve">в  Алтайском   крае»  </w:t>
      </w:r>
      <w:r>
        <w:rPr>
          <w:rFonts w:ascii="PT Astra Serif" w:hAnsi="PT Astra Serif" w:cs="PT Astra Serif"/>
          <w:b/>
          <w:color w:val="000000" w:themeColor="text1"/>
          <w:sz w:val="27"/>
          <w:szCs w:val="27"/>
        </w:rPr>
        <w:t xml:space="preserve">и  в  статью   2   закона Алтайского края «О внесении изменений в закон Алтайского края «Об автомобильных дорогах и о дорожной деятельности в Алтайском крае»</w:t>
      </w:r>
      <w:r>
        <w:rPr>
          <w:color w:val="000000" w:themeColor="text1"/>
          <w:sz w:val="27"/>
          <w:szCs w:val="27"/>
        </w:rPr>
      </w:r>
    </w:p>
    <w:p>
      <w:pPr>
        <w:ind w:left="709" w:right="707"/>
        <w:jc w:val="center"/>
        <w:spacing w:after="0" w:line="240" w:lineRule="auto"/>
        <w:rPr>
          <w:rFonts w:ascii="PT Astra Serif" w:hAnsi="PT Astra Serif" w:cs="PT Astra Serif"/>
          <w:b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</w:rPr>
        <w:t xml:space="preserve">Статья 1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b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Внести в </w:t>
      </w:r>
      <w:bookmarkStart w:id="0" w:name="_Hlk47690850"/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закон Алтайского края от 3 декабря 2008 года № 123-ЗС «Об автомобильных дорогах и о 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дорожной деятельности в Алтайском крае»</w:t>
      </w:r>
      <w:bookmarkEnd w:id="0"/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 (Сборник законодательства Алтайского края, 2008, № 152, часть II; 2011, № 186, часть I;   2012,   № 192, часть I, № 200, часть I; 2013, № 209, часть I; 2014, № 221, часть I; 2016, № 238; Официальный интернет-портал право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вой информации (www.pravo.gov.ru), 1 декабря 2016 года, 6</w:t>
      </w:r>
      <w:r>
        <w:rPr>
          <w:rFonts w:ascii="PT Astra Serif" w:hAnsi="PT Astra Serif" w:cs="PT Astra Serif"/>
          <w:color w:val="000000" w:themeColor="text1"/>
          <w:sz w:val="27"/>
          <w:szCs w:val="27"/>
          <w:lang w:val="en-US"/>
        </w:rPr>
        <w:t xml:space="preserve"> 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марта 2017 года, 6</w:t>
      </w:r>
      <w:r>
        <w:rPr>
          <w:rFonts w:ascii="PT Astra Serif" w:hAnsi="PT Astra Serif" w:cs="PT Astra Serif"/>
          <w:color w:val="000000" w:themeColor="text1"/>
          <w:sz w:val="27"/>
          <w:szCs w:val="27"/>
          <w:lang w:val="en-US"/>
        </w:rPr>
        <w:t xml:space="preserve"> 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июля 2017 года, 6 сентября  2018 года, 28 мая 2020 года,  2</w:t>
      </w:r>
      <w:r>
        <w:rPr>
          <w:rFonts w:ascii="PT Astra Serif" w:hAnsi="PT Astra Serif" w:cs="PT Astra Serif"/>
          <w:color w:val="000000" w:themeColor="text1"/>
          <w:sz w:val="27"/>
          <w:szCs w:val="27"/>
          <w:lang w:val="en-US"/>
        </w:rPr>
        <w:t xml:space="preserve"> 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ноября 2020</w:t>
      </w:r>
      <w:r>
        <w:rPr>
          <w:rFonts w:ascii="PT Astra Serif" w:hAnsi="PT Astra Serif" w:cs="PT Astra Serif"/>
          <w:color w:val="000000" w:themeColor="text1"/>
          <w:sz w:val="27"/>
          <w:szCs w:val="27"/>
          <w:lang w:val="en-US"/>
        </w:rPr>
        <w:t xml:space="preserve"> 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года, 4 февраля 2021 года,</w:t>
      </w:r>
      <w:r>
        <w:rPr>
          <w:rFonts w:ascii="PT Astra Serif" w:hAnsi="PT Astra Serif" w:cs="PT Astra Serif"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10 ноября 2021 года, 12 мая 2022 года) следующие изменения: 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1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) пункт 11 статьи 8 признать утратившим силу;</w:t>
      </w:r>
      <w:r>
        <w:rPr>
          <w:color w:val="000000" w:themeColor="text1"/>
          <w:sz w:val="27"/>
          <w:szCs w:val="27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2) пункт 8 статьи 9 после слов «муниципальных районов,» дополнить словами «муниципальных округов,»;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3) в пункте 3 части 1 статьи 19 слова «тяжеловесных транспортных средств» заменить словами «движения на т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яжеловесных транспортных средствах при международной перевозке товаров в контейнере в соответствии с таможенной процедурой таможенного транзита разными видами транспорта, а также на тяжеловесных транспортных средствах»;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4) статью 21 изложить в следующей р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едакции:</w:t>
      </w:r>
      <w:r>
        <w:rPr>
          <w:color w:val="000000" w:themeColor="text1"/>
          <w:sz w:val="27"/>
          <w:szCs w:val="27"/>
        </w:rPr>
      </w:r>
    </w:p>
    <w:p>
      <w:pPr>
        <w:ind w:left="2268" w:right="0" w:hanging="1559"/>
        <w:jc w:val="both"/>
        <w:spacing w:after="0" w:line="240" w:lineRule="auto"/>
        <w:rPr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«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Статья 21.   </w:t>
      </w:r>
      <w:r>
        <w:rPr>
          <w:rFonts w:ascii="PT Astra Serif" w:hAnsi="PT Astra Serif" w:eastAsia="Times New Roman" w:cs="PT Astra Serif"/>
          <w:b/>
          <w:bCs/>
          <w:color w:val="000000" w:themeColor="text1"/>
          <w:sz w:val="27"/>
          <w:szCs w:val="27"/>
          <w:highlight w:val="white"/>
          <w:lang w:eastAsia="ru-RU"/>
        </w:rPr>
        <w:t xml:space="preserve">Движение по автомобильным дорогам тяжеловесного и  (или) крупногабаритного транспортного средства</w:t>
      </w:r>
      <w:r>
        <w:rPr>
          <w:color w:val="000000" w:themeColor="text1"/>
          <w:sz w:val="27"/>
          <w:szCs w:val="27"/>
          <w:highlight w:val="white"/>
        </w:rPr>
      </w:r>
      <w:r>
        <w:rPr>
          <w:color w:val="000000" w:themeColor="text1"/>
          <w:sz w:val="27"/>
          <w:szCs w:val="27"/>
        </w:rPr>
      </w:r>
    </w:p>
    <w:p>
      <w:pPr>
        <w:ind w:left="2268" w:right="0" w:hanging="1559"/>
        <w:jc w:val="both"/>
        <w:spacing w:after="0" w:line="240" w:lineRule="auto"/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none"/>
        </w:rPr>
      </w:r>
      <w:r>
        <w:rPr>
          <w:color w:val="000000" w:themeColor="text1"/>
          <w:sz w:val="27"/>
          <w:szCs w:val="27"/>
          <w:highlight w:val="none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1. Движение по автомобильным дорогам тяжеловесного и (или) крупногабаритного транспортного средства регулируется Федеральным законом.</w:t>
      </w:r>
      <w:r>
        <w:rPr>
          <w:color w:val="000000" w:themeColor="text1"/>
          <w:sz w:val="27"/>
          <w:szCs w:val="27"/>
          <w:highlight w:val="white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2. Правила движения тяжеловесного и (или) крупногабаритного транспортного средства устанавливаются Правительством Российской Федерации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с учетом положений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 Федерального закона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.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</w:r>
      <w:r>
        <w:rPr>
          <w:color w:val="000000" w:themeColor="text1"/>
          <w:sz w:val="27"/>
          <w:szCs w:val="27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3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. Требования к организации движения по автомобильным дорогам тяжеловесного и (или) крупногабаритного транспортного средства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-правовому регулированию в сфере дорожного хозяйства,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»;</w:t>
      </w:r>
      <w:r>
        <w:rPr>
          <w:color w:val="000000" w:themeColor="text1"/>
          <w:sz w:val="27"/>
          <w:szCs w:val="27"/>
          <w:highlight w:val="white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r>
      <w:r>
        <w:rPr>
          <w:color w:val="000000" w:themeColor="text1"/>
          <w:sz w:val="27"/>
          <w:szCs w:val="27"/>
          <w:highlight w:val="white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5) дополнить статьей 21.1 следующего содержания:</w:t>
      </w:r>
      <w:r>
        <w:rPr>
          <w:color w:val="000000" w:themeColor="text1"/>
          <w:sz w:val="27"/>
          <w:szCs w:val="27"/>
          <w:highlight w:val="white"/>
        </w:rPr>
      </w:r>
      <w:r>
        <w:rPr>
          <w:color w:val="000000" w:themeColor="text1"/>
          <w:sz w:val="27"/>
          <w:szCs w:val="27"/>
        </w:rPr>
      </w:r>
    </w:p>
    <w:p>
      <w:pPr>
        <w:ind w:left="2551" w:right="0" w:hanging="1842"/>
        <w:jc w:val="both"/>
        <w:spacing w:after="0" w:line="240" w:lineRule="auto"/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  <w:t xml:space="preserve">«Статья 21.1. </w:t>
      </w: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white"/>
        </w:rPr>
        <w:t xml:space="preserve">Движение по автомобильным дорогам транспортных средств, осуществляющих перевозки о</w:t>
      </w: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white"/>
        </w:rPr>
        <w:t xml:space="preserve">пасных груз</w:t>
      </w: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  <w:t xml:space="preserve">ов</w:t>
      </w: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none"/>
        </w:rPr>
      </w:r>
      <w:r>
        <w:rPr>
          <w:color w:val="000000" w:themeColor="text1"/>
          <w:sz w:val="27"/>
          <w:szCs w:val="27"/>
        </w:rPr>
      </w:r>
    </w:p>
    <w:p>
      <w:pPr>
        <w:ind w:left="0" w:right="0" w:firstLine="0"/>
        <w:jc w:val="both"/>
        <w:spacing w:after="0" w:line="240" w:lineRule="auto"/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>
        <w:rPr>
          <w:color w:val="000000" w:themeColor="text1"/>
          <w:sz w:val="27"/>
          <w:szCs w:val="27"/>
        </w:rPr>
      </w:r>
    </w:p>
    <w:p>
      <w:pPr>
        <w:contextualSpacing w:val="0"/>
        <w:ind w:left="0" w:right="0"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  <w:suppressLineNumbers w:val="0"/>
      </w:pPr>
      <w:r>
        <w:rPr>
          <w:rFonts w:ascii="PT Astra Serif" w:hAnsi="PT Astra Serif" w:cs="PT Astra Serif"/>
          <w:b w:val="0"/>
          <w:bCs w:val="0"/>
          <w:color w:val="000000" w:themeColor="text1"/>
          <w:sz w:val="27"/>
          <w:szCs w:val="27"/>
        </w:rPr>
        <w:t xml:space="preserve">1.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 Движение по автомобильным дорогам транспортных средств, осуществляющих перевозки опасных грузов, регулируется Федеральным законом.</w:t>
      </w: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none"/>
        </w:rPr>
      </w:r>
      <w:r>
        <w:rPr>
          <w:color w:val="000000" w:themeColor="text1"/>
          <w:sz w:val="27"/>
          <w:szCs w:val="27"/>
        </w:rPr>
      </w:r>
    </w:p>
    <w:p>
      <w:pPr>
        <w:contextualSpacing w:val="0"/>
        <w:ind w:left="0" w:right="0"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2. 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 Порядок выдачи специального разрешения, включая порядок согласования маршрутов транспортных средств, осуществляющих перевозки опасных грузов, порядок установления постоянных маршрутов транспортных средств, осуществляющих перевозки опасных грузов, форму бла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нка специального разрешения, порядок переоформления специального разрешения и срок действия специального разрешения, устанавливается федеральным органом исполнительной власти, осущест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вляющим функции по выработке государственной политики и нормативно-правов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ому регулированию в сфере транспорта.».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b/>
          <w:bCs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b/>
          <w:bCs/>
          <w:color w:val="000000" w:themeColor="text1"/>
          <w:sz w:val="27"/>
          <w:szCs w:val="27"/>
          <w:lang w:eastAsia="ru-RU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b/>
          <w:bCs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b/>
          <w:color w:val="000000" w:themeColor="text1"/>
          <w:sz w:val="27"/>
          <w:szCs w:val="27"/>
          <w:lang w:eastAsia="ru-RU"/>
        </w:rPr>
        <w:t xml:space="preserve">Статья 2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yellow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 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Внести  в   статью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   2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   закона  Алтайского края от 11 мая 2022 года № 31-ЗС «О внесении изменений в закон Алтайского края «Об автомобильных дорогах и о дорожной деятельности в Алтайском крае» (Официальный интернет-портал правовой информации (www.pravo.gov.ru), 12 мая 2022 года) 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изменение, заменив слово «марта» словом «апреля».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  <w:t xml:space="preserve">Статья 3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none"/>
        </w:rPr>
      </w: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none"/>
        </w:rPr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1. Настоящий Закон вступает в силу с 1 марта 2024 года, за исключением пункта 2 статьи 1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и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 статьи 2 настоящего Закона.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2. Пункт 2 статьи 1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и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 статья 2 настоящего Закона вступают в силу со дня официального опубликования настоящего Закона.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3. Со дня вступления в силу настоящего Закона признать утратившим силу подпункт  «б»  пункта  1  статьи  1 закона Алтайского края от 5 апреля 2016 года № 21-ЗС «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 xml:space="preserve">О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 xml:space="preserve"> внесении изменений в закон Алтайского края «Об автомобильных дорогах  и  о  дорожной  деятельности  в  Алтайском   крае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 xml:space="preserve">» 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(Официальный интернет-портал правовой информации (www.pravo.gov.ru), 8 апреля 2016 года).</w:t>
      </w:r>
      <w:r>
        <w:rPr>
          <w:color w:val="000000" w:themeColor="text1"/>
          <w:sz w:val="27"/>
          <w:szCs w:val="27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ind w:firstLine="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p>
      <w:pPr>
        <w:ind w:firstLine="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</w:r>
      <w:bookmarkStart w:id="1" w:name="_GoBack"/>
      <w:r>
        <w:rPr>
          <w:color w:val="000000" w:themeColor="text1"/>
          <w:sz w:val="27"/>
          <w:szCs w:val="27"/>
        </w:rPr>
      </w:r>
      <w:bookmarkEnd w:id="1"/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5068"/>
        <w:gridCol w:w="4711"/>
      </w:tblGrid>
      <w:tr>
        <w:trPr/>
        <w:tc>
          <w:tcPr>
            <w:shd w:val="clear" w:color="auto" w:fill="auto"/>
            <w:tcW w:w="5068" w:type="dxa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7"/>
                <w:szCs w:val="27"/>
                <w:lang w:eastAsia="ru-RU"/>
              </w:rPr>
              <w:t xml:space="preserve">Губернатор Алтайского края</w:t>
            </w:r>
            <w:r>
              <w:rPr>
                <w:color w:val="000000" w:themeColor="text1"/>
                <w:sz w:val="27"/>
                <w:szCs w:val="27"/>
              </w:rPr>
            </w:r>
          </w:p>
        </w:tc>
        <w:tc>
          <w:tcPr>
            <w:shd w:val="clear" w:color="auto" w:fill="auto"/>
            <w:tcW w:w="471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7"/>
                <w:szCs w:val="27"/>
                <w:lang w:eastAsia="ru-RU"/>
              </w:rPr>
              <w:t xml:space="preserve">В.П. Томенко</w:t>
            </w:r>
            <w:r>
              <w:rPr>
                <w:color w:val="000000" w:themeColor="text1"/>
                <w:sz w:val="27"/>
                <w:szCs w:val="27"/>
              </w:rPr>
            </w:r>
          </w:p>
        </w:tc>
      </w:tr>
    </w:tbl>
    <w:p>
      <w:pPr>
        <w:spacing w:line="240" w:lineRule="auto"/>
        <w:tabs>
          <w:tab w:val="left" w:pos="2156" w:leader="none"/>
        </w:tabs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</w:r>
      <w:r>
        <w:rPr>
          <w:color w:val="000000" w:themeColor="text1"/>
          <w:sz w:val="27"/>
          <w:szCs w:val="27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right"/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PT Astra Serif" w:hAnsi="PT Astra Serif" w:cs="PT Astra Serif"/>
        <w:sz w:val="24"/>
        <w:szCs w:val="24"/>
      </w:rPr>
      <w:t xml:space="preserve">1</w:t>
    </w:r>
    <w:r>
      <w:rPr>
        <w:rFonts w:ascii="PT Astra Serif" w:hAnsi="PT Astra Serif" w:cs="PT Astra Serif"/>
        <w:sz w:val="24"/>
        <w:szCs w:val="24"/>
      </w:rPr>
      <w:fldChar w:fldCharType="end"/>
    </w:r>
    <w:r/>
  </w:p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line="240" w:lineRule="auto"/>
      <w:rPr>
        <w:rFonts w:ascii="PT Astra Serif" w:hAnsi="PT Astra Serif" w:cs="PT Astra Serif"/>
      </w:rPr>
    </w:pPr>
    <w:r>
      <w:rPr>
        <w:rFonts w:ascii="PT Astra Serif" w:hAnsi="PT Astra Serif" w:cs="PT Astra Serif"/>
        <w:sz w:val="28"/>
        <w:szCs w:val="28"/>
      </w:rPr>
      <w:t xml:space="preserve">Проект</w:t>
    </w:r>
    <w:r>
      <w:rPr>
        <w:rFonts w:ascii="PT Astra Serif" w:hAnsi="PT Astra Serif" w:cs="PT Astra Serif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 w:default="1">
    <w:name w:val="Normal"/>
    <w:qFormat/>
  </w:style>
  <w:style w:type="paragraph" w:styleId="667">
    <w:name w:val="Heading 1"/>
    <w:basedOn w:val="666"/>
    <w:next w:val="666"/>
    <w:link w:val="69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8">
    <w:name w:val="Heading 2"/>
    <w:basedOn w:val="666"/>
    <w:next w:val="666"/>
    <w:link w:val="69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69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69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69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666"/>
    <w:next w:val="666"/>
    <w:link w:val="69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3">
    <w:name w:val="Heading 7"/>
    <w:basedOn w:val="666"/>
    <w:next w:val="666"/>
    <w:link w:val="70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4">
    <w:name w:val="Heading 8"/>
    <w:basedOn w:val="666"/>
    <w:next w:val="666"/>
    <w:link w:val="70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5">
    <w:name w:val="Heading 9"/>
    <w:basedOn w:val="666"/>
    <w:next w:val="666"/>
    <w:link w:val="70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Heading 2 Char"/>
    <w:basedOn w:val="676"/>
    <w:uiPriority w:val="9"/>
    <w:rPr>
      <w:rFonts w:ascii="Arial" w:hAnsi="Arial" w:eastAsia="Arial" w:cs="Arial"/>
      <w:sz w:val="34"/>
    </w:rPr>
  </w:style>
  <w:style w:type="character" w:styleId="681" w:customStyle="1">
    <w:name w:val="Heading 3 Char"/>
    <w:basedOn w:val="676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Heading 4 Char"/>
    <w:basedOn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Heading 5 Char"/>
    <w:basedOn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Heading 6 Char"/>
    <w:basedOn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Heading 7 Char"/>
    <w:basedOn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Heading 9 Char"/>
    <w:basedOn w:val="676"/>
    <w:uiPriority w:val="9"/>
    <w:rPr>
      <w:rFonts w:ascii="Arial" w:hAnsi="Arial" w:eastAsia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10"/>
    <w:rPr>
      <w:sz w:val="48"/>
      <w:szCs w:val="48"/>
    </w:rPr>
  </w:style>
  <w:style w:type="character" w:styleId="689" w:customStyle="1">
    <w:name w:val="Subtitle Char"/>
    <w:basedOn w:val="676"/>
    <w:uiPriority w:val="11"/>
    <w:rPr>
      <w:sz w:val="24"/>
      <w:szCs w:val="24"/>
    </w:rPr>
  </w:style>
  <w:style w:type="character" w:styleId="690" w:customStyle="1">
    <w:name w:val="Quote Char"/>
    <w:uiPriority w:val="29"/>
    <w:rPr>
      <w:i/>
    </w:rPr>
  </w:style>
  <w:style w:type="character" w:styleId="691" w:customStyle="1">
    <w:name w:val="Intense Quote Char"/>
    <w:uiPriority w:val="30"/>
    <w:rPr>
      <w:i/>
    </w:rPr>
  </w:style>
  <w:style w:type="character" w:styleId="692" w:customStyle="1">
    <w:name w:val="Footnote Text Char"/>
    <w:uiPriority w:val="99"/>
    <w:rPr>
      <w:sz w:val="18"/>
    </w:rPr>
  </w:style>
  <w:style w:type="character" w:styleId="693" w:customStyle="1">
    <w:name w:val="Endnote Text Char"/>
    <w:uiPriority w:val="99"/>
    <w:rPr>
      <w:sz w:val="20"/>
    </w:rPr>
  </w:style>
  <w:style w:type="character" w:styleId="694" w:customStyle="1">
    <w:name w:val="Заголовок 1 Знак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Заголовок 2 Знак"/>
    <w:basedOn w:val="676"/>
    <w:link w:val="668"/>
    <w:uiPriority w:val="9"/>
    <w:rPr>
      <w:rFonts w:ascii="Arial" w:hAnsi="Arial" w:eastAsia="Arial" w:cs="Arial"/>
      <w:sz w:val="34"/>
    </w:rPr>
  </w:style>
  <w:style w:type="character" w:styleId="696" w:customStyle="1">
    <w:name w:val="Заголовок 3 Знак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Заголовок 4 Знак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Заголовок 5 Знак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Заголовок 6 Знак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Заголовок 7 Знак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Заголовок 9 Знак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No Spacing"/>
    <w:uiPriority w:val="1"/>
    <w:qFormat/>
    <w:pPr>
      <w:spacing w:after="0" w:line="240" w:lineRule="auto"/>
    </w:pPr>
  </w:style>
  <w:style w:type="paragraph" w:styleId="704">
    <w:name w:val="Title"/>
    <w:basedOn w:val="666"/>
    <w:next w:val="666"/>
    <w:link w:val="705"/>
    <w:uiPriority w:val="10"/>
    <w:qFormat/>
    <w:pPr>
      <w:contextualSpacing/>
      <w:spacing w:before="300"/>
    </w:pPr>
    <w:rPr>
      <w:sz w:val="48"/>
      <w:szCs w:val="48"/>
    </w:rPr>
  </w:style>
  <w:style w:type="character" w:styleId="705" w:customStyle="1">
    <w:name w:val="Заголовок Знак"/>
    <w:basedOn w:val="676"/>
    <w:link w:val="704"/>
    <w:uiPriority w:val="10"/>
    <w:rPr>
      <w:sz w:val="48"/>
      <w:szCs w:val="48"/>
    </w:rPr>
  </w:style>
  <w:style w:type="paragraph" w:styleId="706">
    <w:name w:val="Subtitle"/>
    <w:basedOn w:val="666"/>
    <w:next w:val="666"/>
    <w:link w:val="707"/>
    <w:uiPriority w:val="11"/>
    <w:qFormat/>
    <w:pPr>
      <w:spacing w:before="200"/>
    </w:pPr>
    <w:rPr>
      <w:sz w:val="24"/>
      <w:szCs w:val="24"/>
    </w:rPr>
  </w:style>
  <w:style w:type="character" w:styleId="707" w:customStyle="1">
    <w:name w:val="Подзаголовок Знак"/>
    <w:basedOn w:val="676"/>
    <w:link w:val="706"/>
    <w:uiPriority w:val="11"/>
    <w:rPr>
      <w:sz w:val="24"/>
      <w:szCs w:val="24"/>
    </w:rPr>
  </w:style>
  <w:style w:type="paragraph" w:styleId="708">
    <w:name w:val="Quote"/>
    <w:basedOn w:val="666"/>
    <w:next w:val="666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66"/>
    <w:next w:val="666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character" w:styleId="712" w:customStyle="1">
    <w:name w:val="Header Char"/>
    <w:basedOn w:val="676"/>
    <w:uiPriority w:val="99"/>
  </w:style>
  <w:style w:type="character" w:styleId="713" w:customStyle="1">
    <w:name w:val="Footer Char"/>
    <w:basedOn w:val="676"/>
    <w:uiPriority w:val="99"/>
  </w:style>
  <w:style w:type="paragraph" w:styleId="714">
    <w:name w:val="Caption"/>
    <w:basedOn w:val="666"/>
    <w:next w:val="66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5" w:customStyle="1">
    <w:name w:val="Caption Char"/>
    <w:uiPriority w:val="99"/>
  </w:style>
  <w:style w:type="table" w:styleId="716">
    <w:name w:val="Table Grid"/>
    <w:basedOn w:val="67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7" w:customStyle="1">
    <w:name w:val="Table Grid Light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8">
    <w:name w:val="Plain Table 1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67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6" w:customStyle="1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7" w:customStyle="1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8" w:customStyle="1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9" w:customStyle="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0" w:customStyle="1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1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8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9" w:customStyle="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1" w:customStyle="1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3" w:customStyle="1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4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 &amp; 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Bordered &amp; 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Bordered &amp; 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Bordered &amp; 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Bordered &amp; 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Bordered &amp; 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7" w:customStyle="1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8" w:customStyle="1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9" w:customStyle="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0" w:customStyle="1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1" w:customStyle="1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666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76"/>
    <w:uiPriority w:val="99"/>
    <w:unhideWhenUsed/>
    <w:rPr>
      <w:vertAlign w:val="superscript"/>
    </w:rPr>
  </w:style>
  <w:style w:type="paragraph" w:styleId="846">
    <w:name w:val="endnote text"/>
    <w:basedOn w:val="666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basedOn w:val="676"/>
    <w:uiPriority w:val="99"/>
    <w:semiHidden/>
    <w:unhideWhenUsed/>
    <w:rPr>
      <w:vertAlign w:val="superscript"/>
    </w:rPr>
  </w:style>
  <w:style w:type="paragraph" w:styleId="849">
    <w:name w:val="toc 1"/>
    <w:basedOn w:val="666"/>
    <w:next w:val="666"/>
    <w:uiPriority w:val="39"/>
    <w:unhideWhenUsed/>
    <w:pPr>
      <w:spacing w:after="57"/>
    </w:pPr>
  </w:style>
  <w:style w:type="paragraph" w:styleId="850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51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52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53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54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55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56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57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66"/>
    <w:next w:val="666"/>
    <w:uiPriority w:val="99"/>
    <w:unhideWhenUsed/>
    <w:pPr>
      <w:spacing w:after="0"/>
    </w:pPr>
  </w:style>
  <w:style w:type="paragraph" w:styleId="860">
    <w:name w:val="List Paragraph"/>
    <w:basedOn w:val="666"/>
    <w:uiPriority w:val="34"/>
    <w:qFormat/>
    <w:pPr>
      <w:contextualSpacing/>
      <w:ind w:left="720"/>
    </w:pPr>
  </w:style>
  <w:style w:type="paragraph" w:styleId="861">
    <w:name w:val="Header"/>
    <w:basedOn w:val="666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676"/>
    <w:link w:val="861"/>
    <w:uiPriority w:val="99"/>
  </w:style>
  <w:style w:type="paragraph" w:styleId="863">
    <w:name w:val="Footer"/>
    <w:basedOn w:val="666"/>
    <w:link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676"/>
    <w:link w:val="863"/>
    <w:uiPriority w:val="99"/>
  </w:style>
  <w:style w:type="paragraph" w:styleId="865">
    <w:name w:val="Balloon Text"/>
    <w:basedOn w:val="666"/>
    <w:link w:val="86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basedOn w:val="676"/>
    <w:link w:val="86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2323-344B-415E-A7D7-EAA53506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karpenko.mp</dc:creator>
  <cp:keywords/>
  <dc:description/>
  <cp:revision>11</cp:revision>
  <dcterms:created xsi:type="dcterms:W3CDTF">2023-07-17T08:01:00Z</dcterms:created>
  <dcterms:modified xsi:type="dcterms:W3CDTF">2023-08-15T07:28:49Z</dcterms:modified>
</cp:coreProperties>
</file>